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200"/>
        <w:gridCol w:w="2458"/>
      </w:tblGrid>
      <w:tr w:rsidR="00561761" w:rsidTr="003C247E">
        <w:tc>
          <w:tcPr>
            <w:tcW w:w="3027" w:type="dxa"/>
            <w:vAlign w:val="center"/>
          </w:tcPr>
          <w:p w:rsidR="00561761" w:rsidRDefault="00561761" w:rsidP="003C24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73D79F" wp14:editId="5B23C142">
                  <wp:extent cx="1600200" cy="960120"/>
                  <wp:effectExtent l="0" t="0" r="0" b="5080"/>
                  <wp:docPr id="1" name="Picture 1" descr="E L E M E N T:Work:INACO:P R O I E C T E:Meseriile viitorului:sigla primari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 L E M E N T:Work:INACO:P R O I E C T E:Meseriile viitorului:sigla primari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561761" w:rsidRDefault="00561761" w:rsidP="003C24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B9DA4C" wp14:editId="45F83681">
                  <wp:extent cx="1968500" cy="735224"/>
                  <wp:effectExtent l="0" t="0" r="0" b="0"/>
                  <wp:docPr id="2" name="Picture 2" descr="E L E M E N T:Work:INACO:LOGO:final:PNG:Inaco logo facelif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 L E M E N T:Work:INACO:LOGO:final:PNG:Inaco logo facelif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99" cy="73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561761" w:rsidRDefault="00561761" w:rsidP="003C24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FC2BC" wp14:editId="34EE9844">
                  <wp:extent cx="1479544" cy="1047116"/>
                  <wp:effectExtent l="0" t="0" r="0" b="0"/>
                  <wp:docPr id="17" name="Picture 11" descr="E L E M E N T:Work:INACO:P R O I E C T E:Meseriile viitorului:logo_centenar_ROMANA:logo_centenar_RO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 L E M E N T:Work:INACO:P R O I E C T E:Meseriile viitorului:logo_centenar_ROMANA:logo_centenar_RO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45" cy="10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761" w:rsidRDefault="00561761"/>
    <w:p w:rsidR="00561761" w:rsidRDefault="00561761"/>
    <w:p w:rsidR="00561761" w:rsidRDefault="00561761" w:rsidP="00561761"/>
    <w:p w:rsidR="00561761" w:rsidRDefault="00561761" w:rsidP="00561761">
      <w:r w:rsidRPr="0027777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155C" wp14:editId="37175BF0">
                <wp:simplePos x="0" y="0"/>
                <wp:positionH relativeFrom="column">
                  <wp:posOffset>-471805</wp:posOffset>
                </wp:positionH>
                <wp:positionV relativeFrom="paragraph">
                  <wp:posOffset>-271145</wp:posOffset>
                </wp:positionV>
                <wp:extent cx="6286500" cy="34290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761" w:rsidRPr="00711291" w:rsidRDefault="00561761" w:rsidP="00561761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71129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71129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71129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71129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31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15pt;margin-top:-21.35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" fillcolor="#039" stroked="f">
                <v:fill opacity="49087f"/>
                <v:textbox>
                  <w:txbxContent>
                    <w:p w:rsidR="00561761" w:rsidRPr="00711291" w:rsidRDefault="00561761" w:rsidP="00561761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  <w:lang w:val="ro-RO"/>
                        </w:rPr>
                      </w:pPr>
                      <w:r w:rsidRPr="00711291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711291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711291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711291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561761" w:rsidRDefault="00561761" w:rsidP="00561761">
      <w:pPr>
        <w:jc w:val="center"/>
        <w:rPr>
          <w:rFonts w:ascii="Arial" w:eastAsia="Times New Roman" w:hAnsi="Arial"/>
          <w:b/>
          <w:bCs/>
          <w:color w:val="1C1F21"/>
          <w:sz w:val="28"/>
          <w:szCs w:val="28"/>
        </w:rPr>
      </w:pPr>
    </w:p>
    <w:p w:rsidR="00561761" w:rsidRDefault="00561761" w:rsidP="00561761">
      <w:pPr>
        <w:jc w:val="center"/>
        <w:rPr>
          <w:rFonts w:ascii="Arial" w:eastAsia="Times New Roman" w:hAnsi="Arial"/>
          <w:b/>
          <w:bCs/>
          <w:color w:val="141F25"/>
          <w:sz w:val="36"/>
          <w:szCs w:val="36"/>
        </w:rPr>
      </w:pPr>
      <w:r>
        <w:rPr>
          <w:rFonts w:ascii="Arial" w:eastAsia="Times New Roman" w:hAnsi="Arial"/>
          <w:b/>
          <w:bCs/>
          <w:color w:val="1C1F21"/>
          <w:sz w:val="28"/>
          <w:szCs w:val="28"/>
        </w:rPr>
        <w:t xml:space="preserve">INACO </w:t>
      </w:r>
      <w:proofErr w:type="spellStart"/>
      <w:r>
        <w:rPr>
          <w:rFonts w:ascii="Arial" w:eastAsia="Times New Roman" w:hAnsi="Arial"/>
          <w:b/>
          <w:bCs/>
          <w:color w:val="1C1F21"/>
          <w:sz w:val="28"/>
          <w:szCs w:val="28"/>
        </w:rPr>
        <w:t>lansează</w:t>
      </w:r>
      <w:proofErr w:type="spellEnd"/>
      <w:r>
        <w:rPr>
          <w:rFonts w:ascii="Arial" w:eastAsia="Times New Roman" w:hAnsi="Arial"/>
          <w:b/>
          <w:bCs/>
          <w:color w:val="1C1F2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1C1F21"/>
          <w:sz w:val="28"/>
          <w:szCs w:val="28"/>
        </w:rPr>
        <w:t>proiectul</w:t>
      </w:r>
      <w:proofErr w:type="spellEnd"/>
      <w:r>
        <w:rPr>
          <w:rFonts w:ascii="Arial" w:eastAsia="Times New Roman" w:hAnsi="Arial"/>
          <w:b/>
          <w:bCs/>
          <w:color w:val="1C1F2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1C1F21"/>
          <w:sz w:val="28"/>
          <w:szCs w:val="28"/>
        </w:rPr>
        <w:t>Ghidul</w:t>
      </w:r>
      <w:proofErr w:type="spellEnd"/>
      <w:r>
        <w:rPr>
          <w:rFonts w:ascii="Arial" w:eastAsia="Times New Roman" w:hAnsi="Arial"/>
          <w:b/>
          <w:bCs/>
          <w:color w:val="1C1F2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1C1F21"/>
          <w:sz w:val="28"/>
          <w:szCs w:val="28"/>
        </w:rPr>
        <w:t>Meseriilor</w:t>
      </w:r>
      <w:proofErr w:type="spellEnd"/>
      <w:r>
        <w:rPr>
          <w:rFonts w:ascii="Arial" w:eastAsia="Times New Roman" w:hAnsi="Arial"/>
          <w:b/>
          <w:bCs/>
          <w:color w:val="1C1F2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1C1F21"/>
          <w:sz w:val="28"/>
          <w:szCs w:val="28"/>
        </w:rPr>
        <w:t>Viitorului</w:t>
      </w:r>
      <w:proofErr w:type="spellEnd"/>
    </w:p>
    <w:p w:rsidR="00561761" w:rsidRPr="00591AAC" w:rsidRDefault="00561761" w:rsidP="00561761">
      <w:pPr>
        <w:ind w:right="880"/>
        <w:jc w:val="center"/>
        <w:rPr>
          <w:rFonts w:ascii="Arial" w:eastAsia="Times New Roman" w:hAnsi="Arial"/>
          <w:color w:val="1C1F21"/>
          <w:sz w:val="20"/>
          <w:szCs w:val="20"/>
        </w:rPr>
      </w:pPr>
    </w:p>
    <w:p w:rsidR="00561761" w:rsidRPr="00591AAC" w:rsidRDefault="00561761" w:rsidP="00561761">
      <w:pPr>
        <w:ind w:firstLine="708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Asociația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INACO –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Inițiativa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Competitivitate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 organism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neguvernamental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nonprofit (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vezi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www.inaco.ro),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calitate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beneficiar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implementează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lider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începând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data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24.07.2018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 „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Ghidul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traininguri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non-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formale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elevii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claselor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XI-XII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sectorului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3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urmează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aleagă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parcursul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profesional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”.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fost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selectat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Direcția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Cultură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Sport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Tineret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Primăriei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Sectorului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3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București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finanțarea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nerambursabilă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bugetul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local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domeniul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“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educative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tineret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”, cu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valoare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totală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r w:rsidR="004166A0">
        <w:rPr>
          <w:rFonts w:ascii="Arial" w:eastAsia="Times New Roman" w:hAnsi="Arial"/>
          <w:color w:val="1C1F21"/>
          <w:sz w:val="22"/>
          <w:szCs w:val="22"/>
        </w:rPr>
        <w:t>6</w:t>
      </w:r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0.000 de lei, din care 48.000 lei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asistență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financiară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nerambursabilă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cu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cofinanțare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prin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contribuție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proprie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12.000 lei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are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durat</w:t>
      </w:r>
      <w:r w:rsidR="004166A0">
        <w:rPr>
          <w:rFonts w:ascii="Arial" w:eastAsia="Times New Roman" w:hAnsi="Arial"/>
          <w:color w:val="1C1F21"/>
          <w:sz w:val="22"/>
          <w:szCs w:val="22"/>
        </w:rPr>
        <w:t>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totală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implementare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6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luni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până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decembrie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2018.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INACO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este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propunere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interactivă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conștientizare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responsabilizare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elevilor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părinților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cadrelor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didactice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13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sectorului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3 al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Capitalei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privind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modul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arăta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apropiat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.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Forumul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Economic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Mondial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susține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într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-un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raport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2016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65%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dintre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astăzi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nu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mai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exista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când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copiii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intră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acum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școală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absolvi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dori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se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angajeze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.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Revoluția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4.0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tehnologică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transformările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profunde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economiei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mondiale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determinate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robotizare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inteligența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artificială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noile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descoperiri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științifice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tehnologice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schimba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dramatic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piața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muncii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țara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noastră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 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Toate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domeniile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activitate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se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resetează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de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agricultură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comerț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de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producția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industrială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medicină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.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cunoscute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precum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șofer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sau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chelner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este</w:t>
      </w:r>
      <w:proofErr w:type="spellEnd"/>
      <w:proofErr w:type="gram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foarte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posibil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dispară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curând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.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Munca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manuală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proofErr w:type="gram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fi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înlocuită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creativă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.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Universitatea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Kent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găsit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un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foarte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bun slogan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mâine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: "Work smart, not hard!" - "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Lucrează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inteligent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nu cu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efort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mare!</w:t>
      </w:r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".</w:t>
      </w:r>
      <w:proofErr w:type="gramEnd"/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România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un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tânăr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trei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vârsta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între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20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24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ani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are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ocupație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față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un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tânăr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doi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nivel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european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;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noi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 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mai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mult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treime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</w:t>
      </w:r>
      <w:r w:rsidR="004166A0">
        <w:rPr>
          <w:rFonts w:ascii="Arial" w:eastAsia="Times New Roman" w:hAnsi="Arial"/>
          <w:color w:val="1C1F21"/>
          <w:sz w:val="22"/>
          <w:szCs w:val="22"/>
        </w:rPr>
        <w:t>tre</w:t>
      </w:r>
      <w:bookmarkStart w:id="0" w:name="_GoBack"/>
      <w:bookmarkEnd w:id="0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sunt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risc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sărăcie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sau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excluziune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socială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- 40,3%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față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24.3% media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europeană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. 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INACO -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Inițiativa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competitivitate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consideră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această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situație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este</w:t>
      </w:r>
      <w:proofErr w:type="spellEnd"/>
      <w:proofErr w:type="gram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vinovat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sistemul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orientare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școlară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apoi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orientare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profesională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nu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informează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nu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formează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elevii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schimbările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permanente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structurii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forței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muncă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Acest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context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național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internațional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perspectiva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se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schimba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radical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paradigma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actuale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 au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determinat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comunitatea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experți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membri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colaboratori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INACO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propună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primăriei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sectorului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3 un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complex,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conecta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650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elevi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150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părinți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78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profesori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13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realitățile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pieței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muncii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mâine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INACO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elabora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un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Ghid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al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Meseriilor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, un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studiu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informal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prezenta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 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tendințele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formare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profesională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 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structura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perspectivă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 </w:t>
      </w:r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pieței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muncii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pornind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la mega-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tendințele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tehnologice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lumii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azi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 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Ghidul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proofErr w:type="gram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oferi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lastRenderedPageBreak/>
        <w:t>informații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imagini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despre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robotică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biotehnologii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inteligența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artificială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realitatea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virtuală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internetul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tuturor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lucrurilor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resursele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, etc.  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Acest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ghid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sta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baza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celor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13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workshopuri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creative,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evenimente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educație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non-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formală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coordonate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experții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INACO,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stimula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participarea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școlară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orientarea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profesională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clasele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terminale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13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- 6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teoretice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7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tehnologice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sectorului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3. 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mai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activi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acest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cooptați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puncte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locale de contact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fiecare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structura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comunitate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activă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online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pagină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dedicată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avea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funcționalitatea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 </w:t>
      </w:r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a continua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îmbunătăți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proiectul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anii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urmează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ajutând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orientarea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profesională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colegilor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  <w:shd w:val="clear" w:color="auto" w:fill="FFFFFF"/>
        </w:rPr>
        <w:t>. 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Părinții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copiilor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aceste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putea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să</w:t>
      </w:r>
      <w:proofErr w:type="spellEnd"/>
      <w:proofErr w:type="gram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participe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unul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dintre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șase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seminarii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educație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parentală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tematica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exista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dezbateri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interactive cu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experți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INACO.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Profesorii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participa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activ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workshopuri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seminarii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deveni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factori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diseminare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a</w:t>
      </w:r>
      <w:proofErr w:type="gram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informațiilor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conținute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Ghidul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sau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 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temelor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prezentate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experții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INACO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vectori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orientare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școlară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profesională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promoțiile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elevi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 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fi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organizată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Caravana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Meseriilor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Viitorului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răspândi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26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afișe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1300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pliante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difuzarea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masa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elevilor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acțiunilor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temelor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.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Elevii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care se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înscrie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acțiunile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Caravanei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putea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participa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un concurs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eseuri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despre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cum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proiectează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cariera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profesională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după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impactul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creat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activitățile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concurs cu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premii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câte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100 de lei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fiecare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dintre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13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incluse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activități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 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Proiectul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proofErr w:type="gramStart"/>
      <w:r w:rsidRPr="00591AAC">
        <w:rPr>
          <w:rFonts w:ascii="Arial" w:eastAsia="Times New Roman" w:hAnsi="Arial"/>
          <w:color w:val="1C1F21"/>
          <w:sz w:val="22"/>
          <w:szCs w:val="22"/>
        </w:rPr>
        <w:t>va</w:t>
      </w:r>
      <w:proofErr w:type="spellEnd"/>
      <w:proofErr w:type="gram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fi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susținut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promovare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online,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rețelele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socializare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mass-media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prin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spoturi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spațiul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promoțional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panourilor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video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București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</w:t>
      </w:r>
    </w:p>
    <w:p w:rsidR="00561761" w:rsidRDefault="00561761" w:rsidP="00561761"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Acest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demers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informativ-instructiv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 INACO se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dorește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un program-pilot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pregătirea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pentru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viață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din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România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el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putând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fi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activat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și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alte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licee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Bucureștiului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sau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ale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țării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având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potențialul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de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acțiune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 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educativă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la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nivel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național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,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în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contextul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necesității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stringente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a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informării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tinerilor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despre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perspectivele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carierei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lor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 xml:space="preserve"> </w:t>
      </w:r>
      <w:proofErr w:type="spellStart"/>
      <w:r w:rsidRPr="00591AAC">
        <w:rPr>
          <w:rFonts w:ascii="Arial" w:eastAsia="Times New Roman" w:hAnsi="Arial"/>
          <w:color w:val="1C1F21"/>
          <w:sz w:val="22"/>
          <w:szCs w:val="22"/>
        </w:rPr>
        <w:t>profesionale</w:t>
      </w:r>
      <w:proofErr w:type="spellEnd"/>
      <w:r w:rsidRPr="00591AAC">
        <w:rPr>
          <w:rFonts w:ascii="Arial" w:eastAsia="Times New Roman" w:hAnsi="Arial"/>
          <w:color w:val="1C1F21"/>
          <w:sz w:val="22"/>
          <w:szCs w:val="22"/>
        </w:rPr>
        <w:t>.</w:t>
      </w:r>
    </w:p>
    <w:p w:rsidR="00561761" w:rsidRPr="00591AAC" w:rsidRDefault="00561761" w:rsidP="00561761">
      <w:pPr>
        <w:ind w:firstLine="720"/>
        <w:jc w:val="both"/>
        <w:rPr>
          <w:rFonts w:ascii="Arial" w:eastAsia="Times New Roman" w:hAnsi="Arial"/>
          <w:color w:val="1C1F21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8300"/>
      </w:tblGrid>
      <w:tr w:rsidR="00561761" w:rsidTr="003C247E">
        <w:tc>
          <w:tcPr>
            <w:tcW w:w="8516" w:type="dxa"/>
          </w:tcPr>
          <w:p w:rsidR="00561761" w:rsidRPr="003D794B" w:rsidRDefault="00561761" w:rsidP="003C247E">
            <w:pPr>
              <w:jc w:val="both"/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proofErr w:type="spellStart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>Pentru</w:t>
            </w:r>
            <w:proofErr w:type="spellEnd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 </w:t>
            </w:r>
            <w:proofErr w:type="spellStart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>informații</w:t>
            </w:r>
            <w:proofErr w:type="spellEnd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 </w:t>
            </w:r>
            <w:proofErr w:type="spellStart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>suplimentare</w:t>
            </w:r>
            <w:proofErr w:type="spellEnd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, </w:t>
            </w:r>
            <w:proofErr w:type="spellStart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>persoanele</w:t>
            </w:r>
            <w:proofErr w:type="spellEnd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 de contact </w:t>
            </w:r>
            <w:proofErr w:type="spellStart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>sunt</w:t>
            </w:r>
            <w:proofErr w:type="spellEnd"/>
            <w:r w:rsidRPr="00F84ABA">
              <w:rPr>
                <w:rFonts w:ascii="Arial" w:eastAsia="Times New Roman" w:hAnsi="Arial"/>
                <w:color w:val="1C1F21"/>
                <w:sz w:val="20"/>
                <w:szCs w:val="20"/>
              </w:rPr>
              <w:t>:</w:t>
            </w:r>
          </w:p>
        </w:tc>
      </w:tr>
    </w:tbl>
    <w:p w:rsidR="00561761" w:rsidRPr="003D794B" w:rsidRDefault="00561761" w:rsidP="00561761">
      <w:pPr>
        <w:jc w:val="both"/>
        <w:rPr>
          <w:rFonts w:ascii="Arial" w:eastAsia="Times New Roman" w:hAnsi="Arial"/>
          <w:color w:val="1C1F21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3773"/>
      </w:tblGrid>
      <w:tr w:rsidR="00561761" w:rsidTr="003C247E">
        <w:tc>
          <w:tcPr>
            <w:tcW w:w="2727" w:type="pct"/>
          </w:tcPr>
          <w:p w:rsidR="00561761" w:rsidRDefault="00561761" w:rsidP="003C247E">
            <w:pPr>
              <w:jc w:val="both"/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Manager de </w:t>
            </w:r>
            <w:proofErr w:type="spellStart"/>
            <w:r>
              <w:rPr>
                <w:rFonts w:ascii="Arial" w:eastAsia="Times New Roman" w:hAnsi="Arial"/>
                <w:color w:val="1C1F21"/>
                <w:sz w:val="20"/>
                <w:szCs w:val="20"/>
              </w:rPr>
              <w:t>proiect</w:t>
            </w:r>
            <w:proofErr w:type="spellEnd"/>
            <w:r>
              <w:rPr>
                <w:rFonts w:ascii="Arial" w:eastAsia="Times New Roman" w:hAnsi="Arial"/>
                <w:color w:val="1C1F21"/>
                <w:sz w:val="20"/>
                <w:szCs w:val="20"/>
              </w:rPr>
              <w:t>:</w:t>
            </w:r>
          </w:p>
          <w:p w:rsidR="00561761" w:rsidRPr="00387B61" w:rsidRDefault="00561761" w:rsidP="003C247E">
            <w:pPr>
              <w:jc w:val="both"/>
              <w:rPr>
                <w:rFonts w:ascii="Arial" w:eastAsia="Times New Roman" w:hAnsi="Arial"/>
                <w:b/>
                <w:color w:val="1C1F21"/>
                <w:sz w:val="20"/>
                <w:szCs w:val="20"/>
              </w:rPr>
            </w:pPr>
            <w:r w:rsidRPr="00387B61">
              <w:rPr>
                <w:rFonts w:ascii="Arial" w:eastAsia="Times New Roman" w:hAnsi="Arial"/>
                <w:b/>
                <w:color w:val="1C1F21"/>
                <w:sz w:val="20"/>
                <w:szCs w:val="20"/>
              </w:rPr>
              <w:t>Andreea Paul</w:t>
            </w:r>
          </w:p>
          <w:p w:rsidR="00561761" w:rsidRPr="003D794B" w:rsidRDefault="00561761" w:rsidP="003C247E">
            <w:pPr>
              <w:jc w:val="both"/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INACO – </w:t>
            </w:r>
            <w:proofErr w:type="spellStart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Inițiativa</w:t>
            </w:r>
            <w:proofErr w:type="spellEnd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 </w:t>
            </w:r>
            <w:proofErr w:type="spellStart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pentru</w:t>
            </w:r>
            <w:proofErr w:type="spellEnd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 </w:t>
            </w:r>
            <w:proofErr w:type="spellStart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Competitivitate</w:t>
            </w:r>
            <w:proofErr w:type="spellEnd"/>
          </w:p>
          <w:p w:rsidR="00561761" w:rsidRPr="003D794B" w:rsidRDefault="00561761" w:rsidP="003C247E">
            <w:pPr>
              <w:jc w:val="both"/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proofErr w:type="gramStart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tel</w:t>
            </w:r>
            <w:proofErr w:type="gramEnd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.  0749263982</w:t>
            </w:r>
          </w:p>
          <w:p w:rsidR="00561761" w:rsidRDefault="00561761" w:rsidP="003C247E">
            <w:pPr>
              <w:jc w:val="both"/>
              <w:rPr>
                <w:rFonts w:ascii="Arial" w:eastAsia="Times New Roman" w:hAnsi="Arial"/>
                <w:color w:val="1C1F21"/>
              </w:rPr>
            </w:pPr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mail: </w:t>
            </w:r>
            <w:hyperlink r:id="rId7" w:history="1">
              <w:r w:rsidRPr="003D794B">
                <w:rPr>
                  <w:rStyle w:val="Hyperlink"/>
                  <w:rFonts w:ascii="Arial" w:eastAsia="Times New Roman" w:hAnsi="Arial"/>
                  <w:sz w:val="20"/>
                  <w:szCs w:val="20"/>
                </w:rPr>
                <w:t>andreea.paul@inaco.ro</w:t>
              </w:r>
            </w:hyperlink>
          </w:p>
        </w:tc>
        <w:tc>
          <w:tcPr>
            <w:tcW w:w="2273" w:type="pct"/>
          </w:tcPr>
          <w:p w:rsidR="00561761" w:rsidRDefault="00561761" w:rsidP="003C247E">
            <w:pPr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r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Expert </w:t>
            </w:r>
            <w:proofErr w:type="spellStart"/>
            <w:r>
              <w:rPr>
                <w:rFonts w:ascii="Arial" w:eastAsia="Times New Roman" w:hAnsi="Arial"/>
                <w:color w:val="1C1F21"/>
                <w:sz w:val="20"/>
                <w:szCs w:val="20"/>
              </w:rPr>
              <w:t>comunicare</w:t>
            </w:r>
            <w:proofErr w:type="spellEnd"/>
            <w:r>
              <w:rPr>
                <w:rFonts w:ascii="Arial" w:eastAsia="Times New Roman" w:hAnsi="Arial"/>
                <w:color w:val="1C1F21"/>
                <w:sz w:val="20"/>
                <w:szCs w:val="20"/>
              </w:rPr>
              <w:t>:</w:t>
            </w:r>
          </w:p>
          <w:p w:rsidR="00561761" w:rsidRPr="00387B61" w:rsidRDefault="00561761" w:rsidP="003C247E">
            <w:pPr>
              <w:rPr>
                <w:rFonts w:ascii="Arial" w:eastAsia="Times New Roman" w:hAnsi="Arial"/>
                <w:b/>
                <w:color w:val="1C1F21"/>
                <w:sz w:val="20"/>
                <w:szCs w:val="20"/>
              </w:rPr>
            </w:pPr>
            <w:r w:rsidRPr="00387B61">
              <w:rPr>
                <w:rFonts w:ascii="Arial" w:eastAsia="Times New Roman" w:hAnsi="Arial"/>
                <w:b/>
                <w:color w:val="1C1F21"/>
                <w:sz w:val="20"/>
                <w:szCs w:val="20"/>
              </w:rPr>
              <w:t xml:space="preserve">Bogdan </w:t>
            </w:r>
            <w:proofErr w:type="spellStart"/>
            <w:r w:rsidRPr="00387B61">
              <w:rPr>
                <w:rFonts w:ascii="Arial" w:eastAsia="Times New Roman" w:hAnsi="Arial"/>
                <w:b/>
                <w:color w:val="1C1F21"/>
                <w:sz w:val="20"/>
                <w:szCs w:val="20"/>
              </w:rPr>
              <w:t>Dumitrescu</w:t>
            </w:r>
            <w:proofErr w:type="spellEnd"/>
          </w:p>
          <w:p w:rsidR="00561761" w:rsidRPr="003D794B" w:rsidRDefault="00561761" w:rsidP="003C247E">
            <w:pPr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INACO – </w:t>
            </w:r>
            <w:proofErr w:type="spellStart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Inițiativa</w:t>
            </w:r>
            <w:proofErr w:type="spellEnd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 </w:t>
            </w:r>
            <w:proofErr w:type="spellStart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pentru</w:t>
            </w:r>
            <w:proofErr w:type="spellEnd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 </w:t>
            </w:r>
            <w:proofErr w:type="spellStart"/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Competitivitate</w:t>
            </w:r>
            <w:proofErr w:type="spellEnd"/>
          </w:p>
          <w:p w:rsidR="00561761" w:rsidRPr="003D794B" w:rsidRDefault="00561761" w:rsidP="003C247E">
            <w:pPr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>tel. 075152797</w:t>
            </w:r>
          </w:p>
          <w:p w:rsidR="00561761" w:rsidRDefault="00561761" w:rsidP="003C247E">
            <w:pPr>
              <w:rPr>
                <w:rFonts w:ascii="Arial" w:eastAsia="Times New Roman" w:hAnsi="Arial"/>
                <w:color w:val="1C1F21"/>
              </w:rPr>
            </w:pPr>
            <w:r w:rsidRPr="003D794B">
              <w:rPr>
                <w:rFonts w:ascii="Arial" w:eastAsia="Times New Roman" w:hAnsi="Arial"/>
                <w:color w:val="1C1F21"/>
                <w:sz w:val="20"/>
                <w:szCs w:val="20"/>
              </w:rPr>
              <w:t xml:space="preserve">mail: </w:t>
            </w:r>
            <w:hyperlink r:id="rId8" w:history="1">
              <w:r w:rsidRPr="003D794B">
                <w:rPr>
                  <w:rStyle w:val="Hyperlink"/>
                  <w:rFonts w:ascii="Arial" w:eastAsia="Times New Roman" w:hAnsi="Arial"/>
                  <w:sz w:val="20"/>
                  <w:szCs w:val="20"/>
                </w:rPr>
                <w:t>office@inaco.ro</w:t>
              </w:r>
            </w:hyperlink>
          </w:p>
        </w:tc>
      </w:tr>
      <w:tr w:rsidR="00561761" w:rsidTr="003C247E">
        <w:tc>
          <w:tcPr>
            <w:tcW w:w="2727" w:type="pct"/>
          </w:tcPr>
          <w:p w:rsidR="00561761" w:rsidRPr="003D794B" w:rsidRDefault="00561761" w:rsidP="003C247E">
            <w:pPr>
              <w:spacing w:line="397" w:lineRule="exact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676906">
              <w:rPr>
                <w:rFonts w:ascii="Arial" w:eastAsia="Times New Roman" w:hAnsi="Arial"/>
                <w:sz w:val="20"/>
                <w:szCs w:val="20"/>
              </w:rPr>
              <w:t>Informații</w:t>
            </w:r>
            <w:proofErr w:type="spellEnd"/>
            <w:r w:rsidRPr="00676906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676906">
              <w:rPr>
                <w:rFonts w:ascii="Arial" w:eastAsia="Times New Roman" w:hAnsi="Arial"/>
                <w:sz w:val="20"/>
                <w:szCs w:val="20"/>
              </w:rPr>
              <w:t>despre</w:t>
            </w:r>
            <w:proofErr w:type="spellEnd"/>
            <w:r w:rsidRPr="00676906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676906">
              <w:rPr>
                <w:rFonts w:ascii="Arial" w:eastAsia="Times New Roman" w:hAnsi="Arial"/>
                <w:sz w:val="20"/>
                <w:szCs w:val="20"/>
              </w:rPr>
              <w:t>proiect</w:t>
            </w:r>
            <w:proofErr w:type="spellEnd"/>
            <w:r w:rsidRPr="00676906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676906">
              <w:rPr>
                <w:rFonts w:ascii="Arial" w:eastAsia="Times New Roman" w:hAnsi="Arial"/>
                <w:sz w:val="20"/>
                <w:szCs w:val="20"/>
              </w:rPr>
              <w:t>puteți</w:t>
            </w:r>
            <w:proofErr w:type="spellEnd"/>
            <w:r w:rsidRPr="00676906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676906">
              <w:rPr>
                <w:rFonts w:ascii="Arial" w:eastAsia="Times New Roman" w:hAnsi="Arial"/>
                <w:sz w:val="20"/>
                <w:szCs w:val="20"/>
              </w:rPr>
              <w:t>găsi</w:t>
            </w:r>
            <w:proofErr w:type="spellEnd"/>
            <w:r w:rsidRPr="00676906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676906">
              <w:rPr>
                <w:rFonts w:ascii="Arial" w:eastAsia="Times New Roman" w:hAnsi="Arial"/>
                <w:sz w:val="20"/>
                <w:szCs w:val="20"/>
              </w:rPr>
              <w:t>și</w:t>
            </w:r>
            <w:proofErr w:type="spellEnd"/>
            <w:r w:rsidRPr="00676906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676906">
              <w:rPr>
                <w:rFonts w:ascii="Arial" w:eastAsia="Times New Roman" w:hAnsi="Arial"/>
                <w:sz w:val="20"/>
                <w:szCs w:val="20"/>
              </w:rPr>
              <w:t>pe</w:t>
            </w:r>
            <w:proofErr w:type="spellEnd"/>
            <w:r w:rsidRPr="00676906">
              <w:rPr>
                <w:rFonts w:ascii="Arial" w:eastAsia="Times New Roman" w:hAnsi="Arial"/>
                <w:sz w:val="20"/>
                <w:szCs w:val="20"/>
              </w:rPr>
              <w:t>:</w:t>
            </w:r>
          </w:p>
        </w:tc>
        <w:tc>
          <w:tcPr>
            <w:tcW w:w="2273" w:type="pct"/>
          </w:tcPr>
          <w:p w:rsidR="00561761" w:rsidRDefault="00561761" w:rsidP="003C247E">
            <w:pPr>
              <w:jc w:val="both"/>
              <w:rPr>
                <w:rFonts w:ascii="Arial" w:eastAsia="Times New Roman" w:hAnsi="Arial"/>
                <w:color w:val="1C1F21"/>
              </w:rPr>
            </w:pPr>
          </w:p>
        </w:tc>
      </w:tr>
      <w:tr w:rsidR="00561761" w:rsidTr="003C247E">
        <w:tc>
          <w:tcPr>
            <w:tcW w:w="2727" w:type="pct"/>
            <w:tcMar>
              <w:bottom w:w="170" w:type="dxa"/>
            </w:tcMar>
          </w:tcPr>
          <w:p w:rsidR="00561761" w:rsidRPr="003D794B" w:rsidRDefault="00561761" w:rsidP="003C247E">
            <w:pPr>
              <w:jc w:val="both"/>
              <w:rPr>
                <w:rFonts w:ascii="Arial" w:eastAsia="Times New Roman" w:hAnsi="Arial"/>
                <w:color w:val="1C1F21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www.primarie3.ro</w:t>
            </w:r>
          </w:p>
        </w:tc>
        <w:tc>
          <w:tcPr>
            <w:tcW w:w="2273" w:type="pct"/>
            <w:tcMar>
              <w:bottom w:w="170" w:type="dxa"/>
            </w:tcMar>
          </w:tcPr>
          <w:p w:rsidR="00561761" w:rsidRDefault="00561761" w:rsidP="003C247E">
            <w:pPr>
              <w:jc w:val="both"/>
              <w:rPr>
                <w:rFonts w:ascii="Arial" w:eastAsia="Times New Roman" w:hAnsi="Arial"/>
                <w:color w:val="1C1F21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www.cultura3.ro</w:t>
            </w:r>
          </w:p>
        </w:tc>
      </w:tr>
    </w:tbl>
    <w:p w:rsidR="00561761" w:rsidRDefault="00561761" w:rsidP="00561761">
      <w:pPr>
        <w:spacing w:line="397" w:lineRule="exact"/>
        <w:rPr>
          <w:rFonts w:ascii="Helvetica" w:eastAsia="Times New Roman" w:hAnsi="Helvetica" w:cs="Times New Roman"/>
          <w:b/>
          <w:bCs/>
          <w:iCs/>
          <w:shd w:val="clear" w:color="auto" w:fill="FFFFFF"/>
        </w:rPr>
      </w:pPr>
    </w:p>
    <w:p w:rsidR="00561761" w:rsidRDefault="00561761" w:rsidP="00561761">
      <w:pPr>
        <w:spacing w:line="397" w:lineRule="exact"/>
        <w:rPr>
          <w:rFonts w:ascii="Helvetica" w:eastAsia="Times New Roman" w:hAnsi="Helvetica" w:cs="Times New Roman"/>
          <w:b/>
          <w:bCs/>
          <w:iCs/>
          <w:shd w:val="clear" w:color="auto" w:fill="FFFFFF"/>
        </w:rPr>
      </w:pPr>
      <w:proofErr w:type="spellStart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>Mulțumim</w:t>
      </w:r>
      <w:proofErr w:type="spellEnd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 xml:space="preserve"> </w:t>
      </w:r>
      <w:proofErr w:type="spellStart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>sponsorilor</w:t>
      </w:r>
      <w:proofErr w:type="spellEnd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 xml:space="preserve"> care au </w:t>
      </w:r>
      <w:proofErr w:type="spellStart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>asigurat</w:t>
      </w:r>
      <w:proofErr w:type="spellEnd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 xml:space="preserve"> </w:t>
      </w:r>
      <w:proofErr w:type="spellStart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>cofinanțarea</w:t>
      </w:r>
      <w:proofErr w:type="spellEnd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 xml:space="preserve"> </w:t>
      </w:r>
      <w:proofErr w:type="spellStart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>proiectului</w:t>
      </w:r>
      <w:proofErr w:type="spellEnd"/>
      <w:r w:rsidRPr="006A74EC">
        <w:rPr>
          <w:rFonts w:ascii="Helvetica" w:eastAsia="Times New Roman" w:hAnsi="Helvetica" w:cs="Times New Roman"/>
          <w:b/>
          <w:bCs/>
          <w:iCs/>
          <w:shd w:val="clear" w:color="auto" w:fill="FFFFFF"/>
        </w:rPr>
        <w:t>:</w:t>
      </w:r>
    </w:p>
    <w:p w:rsidR="00561761" w:rsidRDefault="00561761"/>
    <w:p w:rsidR="00561761" w:rsidRDefault="00561761"/>
    <w:p w:rsidR="0097008B" w:rsidRDefault="00561761">
      <w:r>
        <w:rPr>
          <w:rFonts w:ascii="Helvetica" w:eastAsia="Times New Roman" w:hAnsi="Helvetica" w:cs="Times New Roman"/>
          <w:b/>
          <w:bCs/>
          <w:iCs/>
          <w:noProof/>
          <w:shd w:val="clear" w:color="auto" w:fill="FFFFFF"/>
        </w:rPr>
        <w:drawing>
          <wp:inline distT="0" distB="0" distL="0" distR="0" wp14:anchorId="50FD1F75" wp14:editId="19ACA233">
            <wp:extent cx="5270500" cy="5080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comunic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08B" w:rsidSect="003C2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1"/>
    <w:rsid w:val="003C249E"/>
    <w:rsid w:val="004166A0"/>
    <w:rsid w:val="00561761"/>
    <w:rsid w:val="0097008B"/>
    <w:rsid w:val="00B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7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1761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aco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ea.paul@inaco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2018-12-19T12:03:00Z</dcterms:created>
  <dcterms:modified xsi:type="dcterms:W3CDTF">2018-12-19T12:03:00Z</dcterms:modified>
</cp:coreProperties>
</file>